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94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0"/>
      </w:tblGrid>
      <w:tr w:rsidR="007E2B69" w:rsidRPr="00597317" w14:paraId="5DCD350F" w14:textId="77777777" w:rsidTr="00EC6BA9">
        <w:trPr>
          <w:jc w:val="center"/>
        </w:trPr>
        <w:tc>
          <w:tcPr>
            <w:tcW w:w="9400" w:type="dxa"/>
          </w:tcPr>
          <w:p w14:paraId="150E39D4" w14:textId="77777777" w:rsidR="007E2B69" w:rsidRPr="00597317" w:rsidRDefault="00EA0E63" w:rsidP="00ED2C9D">
            <w:pPr>
              <w:spacing w:line="276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338BEEE" wp14:editId="43018488">
                  <wp:extent cx="5731510" cy="955252"/>
                  <wp:effectExtent l="0" t="0" r="2540" b="0"/>
                  <wp:docPr id="1265467446" name="Picture 1265467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955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B69" w:rsidRPr="00597317" w14:paraId="2AAF338B" w14:textId="77777777" w:rsidTr="00136B68">
        <w:trPr>
          <w:trHeight w:val="1334"/>
          <w:jc w:val="center"/>
        </w:trPr>
        <w:tc>
          <w:tcPr>
            <w:tcW w:w="9400" w:type="dxa"/>
          </w:tcPr>
          <w:p w14:paraId="5AA9C0EE" w14:textId="7348BAC9" w:rsidR="007B55DC" w:rsidRPr="00C31B0B" w:rsidRDefault="007B55DC" w:rsidP="00ED2C9D">
            <w:pPr>
              <w:spacing w:after="360" w:line="276" w:lineRule="auto"/>
              <w:jc w:val="center"/>
              <w:rPr>
                <w:b/>
                <w:bCs/>
                <w:sz w:val="32"/>
                <w:szCs w:val="32"/>
              </w:rPr>
            </w:pPr>
            <w:bookmarkStart w:id="0" w:name="_Hlk72302136"/>
            <w:r w:rsidRPr="00C31B0B">
              <w:rPr>
                <w:b/>
                <w:bCs/>
                <w:sz w:val="32"/>
                <w:szCs w:val="32"/>
              </w:rPr>
              <w:t xml:space="preserve">TomTom </w:t>
            </w:r>
            <w:r w:rsidR="00C31B0B">
              <w:rPr>
                <w:b/>
                <w:bCs/>
                <w:sz w:val="32"/>
                <w:szCs w:val="32"/>
              </w:rPr>
              <w:t>renforce son maillage de points de charge VE</w:t>
            </w:r>
            <w:r w:rsidRPr="00C31B0B">
              <w:rPr>
                <w:b/>
                <w:bCs/>
                <w:sz w:val="32"/>
                <w:szCs w:val="32"/>
              </w:rPr>
              <w:t xml:space="preserve"> grâce à un nouvel accord avec </w:t>
            </w:r>
            <w:proofErr w:type="spellStart"/>
            <w:r w:rsidRPr="00C31B0B">
              <w:rPr>
                <w:b/>
                <w:bCs/>
                <w:sz w:val="32"/>
                <w:szCs w:val="32"/>
              </w:rPr>
              <w:t>Hubject</w:t>
            </w:r>
            <w:proofErr w:type="spellEnd"/>
            <w:r w:rsidRPr="00C31B0B">
              <w:rPr>
                <w:b/>
                <w:bCs/>
                <w:sz w:val="32"/>
                <w:szCs w:val="32"/>
              </w:rPr>
              <w:t>.</w:t>
            </w:r>
          </w:p>
          <w:p w14:paraId="4480CE6E" w14:textId="66DB809E" w:rsidR="007B55DC" w:rsidRPr="00ED2C9D" w:rsidRDefault="007B55DC" w:rsidP="00ED2C9D">
            <w:pPr>
              <w:pStyle w:val="Lijstalinea"/>
              <w:numPr>
                <w:ilvl w:val="0"/>
                <w:numId w:val="4"/>
              </w:numPr>
              <w:spacing w:after="360" w:line="276" w:lineRule="auto"/>
              <w:ind w:left="1080"/>
              <w:jc w:val="both"/>
              <w:rPr>
                <w:i/>
                <w:iCs/>
                <w:sz w:val="20"/>
                <w:szCs w:val="20"/>
              </w:rPr>
            </w:pPr>
            <w:r w:rsidRPr="00ED2C9D">
              <w:rPr>
                <w:i/>
                <w:iCs/>
                <w:sz w:val="20"/>
                <w:szCs w:val="20"/>
              </w:rPr>
              <w:t xml:space="preserve">TomTom possède </w:t>
            </w:r>
            <w:r w:rsidR="00C31B0B" w:rsidRPr="00ED2C9D">
              <w:rPr>
                <w:i/>
                <w:iCs/>
                <w:sz w:val="20"/>
                <w:szCs w:val="20"/>
              </w:rPr>
              <w:t xml:space="preserve">désormais </w:t>
            </w:r>
            <w:r w:rsidRPr="00ED2C9D">
              <w:rPr>
                <w:i/>
                <w:iCs/>
                <w:sz w:val="20"/>
                <w:szCs w:val="20"/>
              </w:rPr>
              <w:t xml:space="preserve">le plus grand nombre de points de charge de tous les cartographes </w:t>
            </w:r>
            <w:r w:rsidR="00C31B0B" w:rsidRPr="00ED2C9D">
              <w:rPr>
                <w:i/>
                <w:iCs/>
                <w:sz w:val="20"/>
                <w:szCs w:val="20"/>
              </w:rPr>
              <w:t>avec</w:t>
            </w:r>
            <w:r w:rsidRPr="00ED2C9D">
              <w:rPr>
                <w:i/>
                <w:iCs/>
                <w:sz w:val="20"/>
                <w:szCs w:val="20"/>
              </w:rPr>
              <w:t xml:space="preserve"> près de 450</w:t>
            </w:r>
            <w:r w:rsidR="00C31B0B" w:rsidRPr="00ED2C9D">
              <w:rPr>
                <w:i/>
                <w:iCs/>
                <w:sz w:val="20"/>
                <w:szCs w:val="20"/>
              </w:rPr>
              <w:t> </w:t>
            </w:r>
            <w:r w:rsidRPr="00ED2C9D">
              <w:rPr>
                <w:i/>
                <w:iCs/>
                <w:sz w:val="20"/>
                <w:szCs w:val="20"/>
              </w:rPr>
              <w:t>000</w:t>
            </w:r>
            <w:r w:rsidR="00C31B0B" w:rsidRPr="00ED2C9D">
              <w:rPr>
                <w:i/>
                <w:iCs/>
                <w:sz w:val="20"/>
                <w:szCs w:val="20"/>
              </w:rPr>
              <w:t xml:space="preserve"> points de charge.</w:t>
            </w:r>
          </w:p>
          <w:p w14:paraId="5F4D11C2" w14:textId="73B342E8" w:rsidR="007B55DC" w:rsidRPr="00C31B0B" w:rsidRDefault="00C31B0B" w:rsidP="00ED2C9D">
            <w:pPr>
              <w:pStyle w:val="Lijstalinea"/>
              <w:numPr>
                <w:ilvl w:val="0"/>
                <w:numId w:val="4"/>
              </w:numPr>
              <w:spacing w:after="360" w:line="276" w:lineRule="auto"/>
              <w:ind w:left="1080"/>
              <w:jc w:val="both"/>
              <w:rPr>
                <w:rFonts w:eastAsia="Verizon NHG TX" w:cstheme="majorHAnsi"/>
              </w:rPr>
            </w:pPr>
            <w:r w:rsidRPr="00ED2C9D">
              <w:rPr>
                <w:i/>
                <w:iCs/>
                <w:sz w:val="20"/>
                <w:szCs w:val="20"/>
              </w:rPr>
              <w:t>Plus du tiers de ces points</w:t>
            </w:r>
            <w:r w:rsidR="007B55DC" w:rsidRPr="00ED2C9D">
              <w:rPr>
                <w:i/>
                <w:iCs/>
                <w:sz w:val="20"/>
                <w:szCs w:val="20"/>
              </w:rPr>
              <w:t xml:space="preserve"> de recharge fournissent des informations sur leur disponibilité</w:t>
            </w:r>
            <w:bookmarkEnd w:id="0"/>
          </w:p>
        </w:tc>
      </w:tr>
      <w:tr w:rsidR="007E2B69" w:rsidRPr="00597317" w14:paraId="5BB40034" w14:textId="77777777" w:rsidTr="00EC6BA9">
        <w:trPr>
          <w:jc w:val="center"/>
        </w:trPr>
        <w:tc>
          <w:tcPr>
            <w:tcW w:w="9400" w:type="dxa"/>
          </w:tcPr>
          <w:p w14:paraId="1E591CD6" w14:textId="77777777" w:rsidR="007E2B69" w:rsidRPr="00597317" w:rsidRDefault="007E2B69" w:rsidP="00ED2C9D">
            <w:pPr>
              <w:spacing w:line="276" w:lineRule="auto"/>
            </w:pPr>
          </w:p>
        </w:tc>
      </w:tr>
      <w:tr w:rsidR="007E2B69" w:rsidRPr="00ED2C9D" w14:paraId="1B500DEF" w14:textId="77777777" w:rsidTr="00EC6BA9">
        <w:trPr>
          <w:jc w:val="center"/>
        </w:trPr>
        <w:tc>
          <w:tcPr>
            <w:tcW w:w="9400" w:type="dxa"/>
          </w:tcPr>
          <w:p w14:paraId="74EA4B3C" w14:textId="01C7FC82" w:rsidR="007B55DC" w:rsidRPr="00ED2C9D" w:rsidRDefault="006619B2" w:rsidP="00ED2C9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D2C9D">
              <w:rPr>
                <w:rFonts w:cstheme="minorHAnsi"/>
                <w:b/>
                <w:sz w:val="20"/>
                <w:szCs w:val="20"/>
              </w:rPr>
              <w:t xml:space="preserve">Amsterdam, le </w:t>
            </w:r>
            <w:r w:rsidR="007B55DC" w:rsidRPr="00ED2C9D">
              <w:rPr>
                <w:rFonts w:cstheme="minorHAnsi"/>
                <w:b/>
                <w:sz w:val="20"/>
                <w:szCs w:val="20"/>
              </w:rPr>
              <w:t>19 mai 2021</w:t>
            </w:r>
            <w:r w:rsidR="00ED2C9D">
              <w:rPr>
                <w:rFonts w:cstheme="minorHAnsi"/>
                <w:b/>
                <w:sz w:val="20"/>
                <w:szCs w:val="20"/>
              </w:rPr>
              <w:t xml:space="preserve"> - </w:t>
            </w:r>
            <w:r w:rsidRPr="00ED2C9D">
              <w:rPr>
                <w:rFonts w:cstheme="minorHAnsi"/>
                <w:b/>
                <w:bCs/>
                <w:sz w:val="20"/>
                <w:szCs w:val="20"/>
              </w:rPr>
              <w:t>TomTom (</w:t>
            </w:r>
            <w:hyperlink r:id="rId9" w:history="1">
              <w:r w:rsidRPr="00ED2C9D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TOM2</w:t>
              </w:r>
            </w:hyperlink>
            <w:r w:rsidRPr="00ED2C9D">
              <w:rPr>
                <w:rFonts w:cstheme="minorHAnsi"/>
                <w:b/>
                <w:bCs/>
                <w:sz w:val="20"/>
                <w:szCs w:val="20"/>
              </w:rPr>
              <w:t xml:space="preserve">), </w:t>
            </w:r>
            <w:r w:rsidRPr="00ED2C9D">
              <w:rPr>
                <w:rFonts w:eastAsia="Verizon NHG TX" w:cstheme="majorHAnsi"/>
                <w:b/>
                <w:bCs/>
                <w:sz w:val="20"/>
                <w:szCs w:val="20"/>
              </w:rPr>
              <w:t>le spécialiste des technologies de géolocalisation</w:t>
            </w:r>
            <w:r w:rsidR="00C61AF2" w:rsidRPr="00ED2C9D">
              <w:rPr>
                <w:rFonts w:eastAsia="Verizon NHG TX" w:cstheme="majorHAnsi"/>
                <w:b/>
                <w:bCs/>
                <w:sz w:val="20"/>
                <w:szCs w:val="20"/>
              </w:rPr>
              <w:t>,</w:t>
            </w:r>
            <w:r w:rsidRPr="00ED2C9D">
              <w:rPr>
                <w:rFonts w:eastAsia="Verizon NHG TX" w:cstheme="majorHAnsi"/>
                <w:b/>
                <w:bCs/>
                <w:sz w:val="20"/>
                <w:szCs w:val="20"/>
              </w:rPr>
              <w:t xml:space="preserve"> annonce aujourd'hu</w:t>
            </w:r>
            <w:r w:rsidR="007B55DC" w:rsidRPr="00ED2C9D">
              <w:rPr>
                <w:rFonts w:eastAsia="Verizon NHG TX" w:cstheme="majorHAnsi"/>
                <w:b/>
                <w:bCs/>
                <w:sz w:val="20"/>
                <w:szCs w:val="20"/>
              </w:rPr>
              <w:t>i</w:t>
            </w:r>
            <w:r w:rsidR="007B55DC" w:rsidRPr="00ED2C9D">
              <w:rPr>
                <w:b/>
                <w:bCs/>
                <w:sz w:val="20"/>
                <w:szCs w:val="20"/>
              </w:rPr>
              <w:t xml:space="preserve"> une extension de</w:t>
            </w:r>
            <w:r w:rsidR="00064B80" w:rsidRPr="00ED2C9D">
              <w:rPr>
                <w:b/>
                <w:bCs/>
                <w:sz w:val="20"/>
                <w:szCs w:val="20"/>
              </w:rPr>
              <w:t xml:space="preserve"> son </w:t>
            </w:r>
            <w:r w:rsidR="00C0639E" w:rsidRPr="00ED2C9D">
              <w:rPr>
                <w:b/>
                <w:bCs/>
                <w:sz w:val="20"/>
                <w:szCs w:val="20"/>
              </w:rPr>
              <w:t>partenariat avec</w:t>
            </w:r>
            <w:r w:rsidR="007B55DC" w:rsidRPr="00ED2C9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B55DC" w:rsidRPr="00ED2C9D">
              <w:rPr>
                <w:b/>
                <w:bCs/>
                <w:sz w:val="20"/>
                <w:szCs w:val="20"/>
              </w:rPr>
              <w:t>Hubject</w:t>
            </w:r>
            <w:proofErr w:type="spellEnd"/>
            <w:r w:rsidR="007B55DC" w:rsidRPr="00ED2C9D">
              <w:rPr>
                <w:b/>
                <w:bCs/>
                <w:sz w:val="20"/>
                <w:szCs w:val="20"/>
              </w:rPr>
              <w:t xml:space="preserve">, </w:t>
            </w:r>
            <w:bookmarkStart w:id="1" w:name="_Hlk72302684"/>
            <w:r w:rsidR="007B55DC" w:rsidRPr="00ED2C9D">
              <w:rPr>
                <w:b/>
                <w:bCs/>
                <w:sz w:val="20"/>
                <w:szCs w:val="20"/>
              </w:rPr>
              <w:t xml:space="preserve">spécialiste de l'e-mobilité. </w:t>
            </w:r>
            <w:proofErr w:type="spellStart"/>
            <w:r w:rsidR="007B55DC" w:rsidRPr="00ED2C9D">
              <w:rPr>
                <w:b/>
                <w:bCs/>
                <w:sz w:val="20"/>
                <w:szCs w:val="20"/>
              </w:rPr>
              <w:t>Hubject</w:t>
            </w:r>
            <w:proofErr w:type="spellEnd"/>
            <w:r w:rsidR="007B55DC" w:rsidRPr="00ED2C9D">
              <w:rPr>
                <w:b/>
                <w:bCs/>
                <w:sz w:val="20"/>
                <w:szCs w:val="20"/>
              </w:rPr>
              <w:t xml:space="preserve"> a mis en place la plus grande plateforme </w:t>
            </w:r>
            <w:proofErr w:type="spellStart"/>
            <w:r w:rsidR="007B55DC" w:rsidRPr="00ED2C9D">
              <w:rPr>
                <w:b/>
                <w:bCs/>
                <w:sz w:val="20"/>
                <w:szCs w:val="20"/>
              </w:rPr>
              <w:t>multi-fournisseurs</w:t>
            </w:r>
            <w:proofErr w:type="spellEnd"/>
            <w:r w:rsidR="007B55DC" w:rsidRPr="00ED2C9D">
              <w:rPr>
                <w:b/>
                <w:bCs/>
                <w:sz w:val="20"/>
                <w:szCs w:val="20"/>
              </w:rPr>
              <w:t xml:space="preserve"> au monde pour la recharge des véhicules électriques. </w:t>
            </w:r>
            <w:bookmarkEnd w:id="1"/>
            <w:r w:rsidR="007B55DC" w:rsidRPr="00ED2C9D">
              <w:rPr>
                <w:b/>
                <w:bCs/>
                <w:sz w:val="20"/>
                <w:szCs w:val="20"/>
              </w:rPr>
              <w:t xml:space="preserve">La suite </w:t>
            </w:r>
            <w:r w:rsidR="00A26B69" w:rsidRPr="00ED2C9D">
              <w:rPr>
                <w:b/>
                <w:bCs/>
                <w:sz w:val="20"/>
                <w:szCs w:val="20"/>
              </w:rPr>
              <w:t>VE</w:t>
            </w:r>
            <w:r w:rsidR="007B55DC" w:rsidRPr="00ED2C9D">
              <w:rPr>
                <w:b/>
                <w:bCs/>
                <w:sz w:val="20"/>
                <w:szCs w:val="20"/>
              </w:rPr>
              <w:t xml:space="preserve"> de TomTom et les </w:t>
            </w:r>
            <w:hyperlink r:id="rId10" w:history="1">
              <w:r w:rsidR="007B55DC" w:rsidRPr="00ED2C9D">
                <w:rPr>
                  <w:rStyle w:val="Hyperlink"/>
                  <w:b/>
                  <w:bCs/>
                  <w:sz w:val="20"/>
                  <w:szCs w:val="20"/>
                </w:rPr>
                <w:t>API</w:t>
              </w:r>
              <w:r w:rsidR="008260C2" w:rsidRPr="00ED2C9D">
                <w:rPr>
                  <w:rStyle w:val="Hyperlink"/>
                  <w:b/>
                  <w:bCs/>
                  <w:sz w:val="20"/>
                  <w:szCs w:val="20"/>
                </w:rPr>
                <w:t xml:space="preserve"> </w:t>
              </w:r>
              <w:r w:rsidR="007B55DC" w:rsidRPr="00ED2C9D">
                <w:rPr>
                  <w:rStyle w:val="Hyperlink"/>
                  <w:b/>
                  <w:bCs/>
                  <w:sz w:val="20"/>
                  <w:szCs w:val="20"/>
                </w:rPr>
                <w:t xml:space="preserve">TomTom </w:t>
              </w:r>
              <w:proofErr w:type="spellStart"/>
              <w:r w:rsidR="007B55DC" w:rsidRPr="00ED2C9D">
                <w:rPr>
                  <w:rStyle w:val="Hyperlink"/>
                  <w:b/>
                  <w:bCs/>
                  <w:sz w:val="20"/>
                  <w:szCs w:val="20"/>
                </w:rPr>
                <w:t>Maps</w:t>
              </w:r>
              <w:proofErr w:type="spellEnd"/>
            </w:hyperlink>
            <w:r w:rsidR="007B55DC" w:rsidRPr="00ED2C9D">
              <w:rPr>
                <w:b/>
                <w:bCs/>
                <w:sz w:val="20"/>
                <w:szCs w:val="20"/>
              </w:rPr>
              <w:t xml:space="preserve"> </w:t>
            </w:r>
            <w:r w:rsidR="00010362" w:rsidRPr="00ED2C9D">
              <w:rPr>
                <w:b/>
                <w:bCs/>
                <w:sz w:val="20"/>
                <w:szCs w:val="20"/>
              </w:rPr>
              <w:t>intègrent</w:t>
            </w:r>
            <w:r w:rsidR="007B55DC" w:rsidRPr="00ED2C9D">
              <w:rPr>
                <w:b/>
                <w:bCs/>
                <w:sz w:val="20"/>
                <w:szCs w:val="20"/>
              </w:rPr>
              <w:t xml:space="preserve"> désormais davantage d'informations relatives à l'emplacement des bornes de recharge, aux types de connexion et, surtout, à leur disponibilité, </w:t>
            </w:r>
            <w:r w:rsidR="00010362" w:rsidRPr="00ED2C9D">
              <w:rPr>
                <w:b/>
                <w:bCs/>
                <w:sz w:val="20"/>
                <w:szCs w:val="20"/>
              </w:rPr>
              <w:t>permettant aux</w:t>
            </w:r>
            <w:r w:rsidR="007B55DC" w:rsidRPr="00ED2C9D">
              <w:rPr>
                <w:b/>
                <w:bCs/>
                <w:sz w:val="20"/>
                <w:szCs w:val="20"/>
              </w:rPr>
              <w:t xml:space="preserve"> conducteurs et gestionnaires de </w:t>
            </w:r>
            <w:r w:rsidR="00010362" w:rsidRPr="00ED2C9D">
              <w:rPr>
                <w:b/>
                <w:bCs/>
                <w:sz w:val="20"/>
                <w:szCs w:val="20"/>
              </w:rPr>
              <w:t>flotte</w:t>
            </w:r>
            <w:r w:rsidR="007B55DC" w:rsidRPr="00ED2C9D">
              <w:rPr>
                <w:b/>
                <w:bCs/>
                <w:sz w:val="20"/>
                <w:szCs w:val="20"/>
              </w:rPr>
              <w:t xml:space="preserve"> de véhicules électriques </w:t>
            </w:r>
            <w:r w:rsidR="00010362" w:rsidRPr="00ED2C9D">
              <w:rPr>
                <w:b/>
                <w:bCs/>
                <w:sz w:val="20"/>
                <w:szCs w:val="20"/>
              </w:rPr>
              <w:t>de</w:t>
            </w:r>
            <w:r w:rsidR="007B55DC" w:rsidRPr="00ED2C9D">
              <w:rPr>
                <w:b/>
                <w:bCs/>
                <w:sz w:val="20"/>
                <w:szCs w:val="20"/>
              </w:rPr>
              <w:t xml:space="preserve"> gagner du temps.</w:t>
            </w:r>
          </w:p>
          <w:p w14:paraId="1901033F" w14:textId="77777777" w:rsidR="00D90E95" w:rsidRPr="00ED2C9D" w:rsidRDefault="00D90E95" w:rsidP="00ED2C9D">
            <w:pPr>
              <w:spacing w:line="276" w:lineRule="auto"/>
              <w:rPr>
                <w:sz w:val="20"/>
                <w:szCs w:val="20"/>
              </w:rPr>
            </w:pPr>
          </w:p>
          <w:p w14:paraId="254817F4" w14:textId="55A2B956" w:rsidR="007B55DC" w:rsidRPr="00ED2C9D" w:rsidRDefault="007B55DC" w:rsidP="00ED2C9D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ED2C9D">
              <w:rPr>
                <w:sz w:val="20"/>
                <w:szCs w:val="20"/>
              </w:rPr>
              <w:t>« </w:t>
            </w:r>
            <w:r w:rsidRPr="00ED2C9D">
              <w:rPr>
                <w:i/>
                <w:iCs/>
                <w:sz w:val="20"/>
                <w:szCs w:val="20"/>
              </w:rPr>
              <w:t xml:space="preserve">TomTom met constamment à jour ses cartes et sa suite </w:t>
            </w:r>
            <w:r w:rsidR="00A26B69" w:rsidRPr="00ED2C9D">
              <w:rPr>
                <w:i/>
                <w:iCs/>
                <w:sz w:val="20"/>
                <w:szCs w:val="20"/>
              </w:rPr>
              <w:t>VE</w:t>
            </w:r>
            <w:r w:rsidRPr="00ED2C9D">
              <w:rPr>
                <w:i/>
                <w:iCs/>
                <w:sz w:val="20"/>
                <w:szCs w:val="20"/>
              </w:rPr>
              <w:t xml:space="preserve">, </w:t>
            </w:r>
            <w:r w:rsidR="00010362" w:rsidRPr="00ED2C9D">
              <w:rPr>
                <w:i/>
                <w:iCs/>
                <w:sz w:val="20"/>
                <w:szCs w:val="20"/>
              </w:rPr>
              <w:t>supprimant</w:t>
            </w:r>
            <w:r w:rsidRPr="00ED2C9D">
              <w:rPr>
                <w:i/>
                <w:iCs/>
                <w:sz w:val="20"/>
                <w:szCs w:val="20"/>
              </w:rPr>
              <w:t xml:space="preserve"> ainsi les contraintes qui font </w:t>
            </w:r>
            <w:r w:rsidR="00010362" w:rsidRPr="00ED2C9D">
              <w:rPr>
                <w:i/>
                <w:iCs/>
                <w:sz w:val="20"/>
                <w:szCs w:val="20"/>
              </w:rPr>
              <w:t xml:space="preserve">encore </w:t>
            </w:r>
            <w:r w:rsidRPr="00ED2C9D">
              <w:rPr>
                <w:i/>
                <w:iCs/>
                <w:sz w:val="20"/>
                <w:szCs w:val="20"/>
              </w:rPr>
              <w:t xml:space="preserve">obstacle à l'adoption </w:t>
            </w:r>
            <w:r w:rsidR="00010362" w:rsidRPr="00ED2C9D">
              <w:rPr>
                <w:i/>
                <w:iCs/>
                <w:sz w:val="20"/>
                <w:szCs w:val="20"/>
              </w:rPr>
              <w:t>massive</w:t>
            </w:r>
            <w:r w:rsidRPr="00ED2C9D">
              <w:rPr>
                <w:i/>
                <w:iCs/>
                <w:sz w:val="20"/>
                <w:szCs w:val="20"/>
              </w:rPr>
              <w:t xml:space="preserve"> des véhicules électriques, dans le cadre de notre vision d'un avenir plus propre et sans émissions</w:t>
            </w:r>
            <w:r w:rsidRPr="00ED2C9D">
              <w:rPr>
                <w:sz w:val="20"/>
                <w:szCs w:val="20"/>
              </w:rPr>
              <w:t> »</w:t>
            </w:r>
            <w:r w:rsidR="00005D87" w:rsidRPr="00ED2C9D">
              <w:rPr>
                <w:sz w:val="20"/>
                <w:szCs w:val="20"/>
              </w:rPr>
              <w:t xml:space="preserve">, </w:t>
            </w:r>
            <w:r w:rsidR="00C0639E" w:rsidRPr="00ED2C9D">
              <w:rPr>
                <w:sz w:val="20"/>
                <w:szCs w:val="20"/>
              </w:rPr>
              <w:t>confie Antoine</w:t>
            </w:r>
            <w:r w:rsidRPr="00ED2C9D">
              <w:rPr>
                <w:sz w:val="20"/>
                <w:szCs w:val="20"/>
              </w:rPr>
              <w:t xml:space="preserve"> Saucier, Directeur général, TomTom Automotive.</w:t>
            </w:r>
            <w:r w:rsidRPr="00ED2C9D">
              <w:rPr>
                <w:b/>
                <w:bCs/>
                <w:sz w:val="20"/>
                <w:szCs w:val="20"/>
              </w:rPr>
              <w:t xml:space="preserve"> </w:t>
            </w:r>
            <w:r w:rsidRPr="00ED2C9D">
              <w:rPr>
                <w:i/>
                <w:iCs/>
                <w:sz w:val="20"/>
                <w:szCs w:val="20"/>
              </w:rPr>
              <w:t xml:space="preserve">« Grâce à l'accord conclu avec </w:t>
            </w:r>
            <w:proofErr w:type="spellStart"/>
            <w:r w:rsidRPr="00ED2C9D">
              <w:rPr>
                <w:i/>
                <w:iCs/>
                <w:sz w:val="20"/>
                <w:szCs w:val="20"/>
              </w:rPr>
              <w:t>Hubject</w:t>
            </w:r>
            <w:proofErr w:type="spellEnd"/>
            <w:r w:rsidRPr="00ED2C9D">
              <w:rPr>
                <w:i/>
                <w:iCs/>
                <w:sz w:val="20"/>
                <w:szCs w:val="20"/>
              </w:rPr>
              <w:t xml:space="preserve">, la navigation de TomTom permet aux conducteurs de véhicules électriques </w:t>
            </w:r>
            <w:r w:rsidR="00010362" w:rsidRPr="00ED2C9D">
              <w:rPr>
                <w:i/>
                <w:iCs/>
                <w:sz w:val="20"/>
                <w:szCs w:val="20"/>
              </w:rPr>
              <w:t>de disposer d’</w:t>
            </w:r>
            <w:r w:rsidRPr="00ED2C9D">
              <w:rPr>
                <w:i/>
                <w:iCs/>
                <w:sz w:val="20"/>
                <w:szCs w:val="20"/>
              </w:rPr>
              <w:t>un nombre inégalé de bornes de recharge</w:t>
            </w:r>
            <w:r w:rsidR="00010362" w:rsidRPr="00ED2C9D">
              <w:rPr>
                <w:i/>
                <w:iCs/>
                <w:sz w:val="20"/>
                <w:szCs w:val="20"/>
              </w:rPr>
              <w:t xml:space="preserve">. </w:t>
            </w:r>
            <w:r w:rsidRPr="00ED2C9D">
              <w:rPr>
                <w:i/>
                <w:iCs/>
                <w:sz w:val="20"/>
                <w:szCs w:val="20"/>
              </w:rPr>
              <w:t>»</w:t>
            </w:r>
          </w:p>
          <w:p w14:paraId="5B717A15" w14:textId="77777777" w:rsidR="00D90E95" w:rsidRPr="00ED2C9D" w:rsidRDefault="00D90E95" w:rsidP="00ED2C9D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371ACED8" w14:textId="2F5FB448" w:rsidR="00C61AF2" w:rsidRPr="00ED2C9D" w:rsidRDefault="007B55DC" w:rsidP="00ED2C9D">
            <w:pPr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Cet accord porte à près de 450 000 le nombre total de points de charge </w:t>
            </w:r>
            <w:r w:rsidR="00010362"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disponibles</w:t>
            </w:r>
            <w:r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 sur les cartes de TomTom. Plus de 175 000 de ces points de charge fournissent des informations </w:t>
            </w:r>
            <w:r w:rsidR="00010362"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en temps réel </w:t>
            </w:r>
            <w:r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sur leur disponibilité aux conducteurs via le service TomTom </w:t>
            </w:r>
            <w:r w:rsidR="00A26B69"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VE</w:t>
            </w:r>
            <w:r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.</w:t>
            </w:r>
          </w:p>
          <w:p w14:paraId="6C2B3181" w14:textId="50171F84" w:rsidR="00BA7AA0" w:rsidRPr="00ED2C9D" w:rsidRDefault="00BA7AA0" w:rsidP="00ED2C9D">
            <w:pPr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  <w:p w14:paraId="15988CCF" w14:textId="35B8A749" w:rsidR="003C4095" w:rsidRPr="00ED2C9D" w:rsidRDefault="00BA7AA0" w:rsidP="00ED2C9D">
            <w:pPr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bookmarkStart w:id="2" w:name="_Hlk72302025"/>
            <w:r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Les points d'intérêt pour </w:t>
            </w:r>
            <w:r w:rsidR="008260C2"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VE</w:t>
            </w:r>
            <w:r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 vont encore améliorer l'expérience de conduite de véhicules électriques</w:t>
            </w:r>
            <w:r w:rsidR="00010362"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 équipés des</w:t>
            </w:r>
            <w:r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 technologie</w:t>
            </w:r>
            <w:r w:rsidR="00010362"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</w:t>
            </w:r>
            <w:r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 de </w:t>
            </w:r>
            <w:r w:rsidR="00010362"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géo</w:t>
            </w:r>
            <w:r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localisation de TomTom. La dernière technologie TomTom </w:t>
            </w:r>
            <w:r w:rsidR="00A26B69"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VE</w:t>
            </w:r>
            <w:r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 de routage et d'autonomie utilise </w:t>
            </w:r>
            <w:r w:rsidR="000D59BA"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de nombreux</w:t>
            </w:r>
            <w:r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 paramètres pour planifier le meilleur itinéraire, </w:t>
            </w:r>
            <w:r w:rsidR="00C0639E"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calculer précisément</w:t>
            </w:r>
            <w:r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0D59BA"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la portée du véhicule</w:t>
            </w:r>
            <w:r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C0639E"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et </w:t>
            </w:r>
            <w:r w:rsidR="000D59BA"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indiquer </w:t>
            </w:r>
            <w:proofErr w:type="gramStart"/>
            <w:r w:rsidR="000D59BA"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une</w:t>
            </w:r>
            <w:r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 ETA</w:t>
            </w:r>
            <w:r w:rsidR="008260C2"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fiable</w:t>
            </w:r>
            <w:proofErr w:type="gramEnd"/>
            <w:r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. Ces paramètres comprennent le</w:t>
            </w:r>
            <w:r w:rsidR="000D59BA"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</w:t>
            </w:r>
            <w:r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 niveau</w:t>
            </w:r>
            <w:r w:rsidR="000D59BA"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x</w:t>
            </w:r>
            <w:r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 actuel et maximal de la batterie, le type de route</w:t>
            </w:r>
            <w:r w:rsidR="000D59BA"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</w:t>
            </w:r>
            <w:r w:rsidR="007240BE"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 empruntée</w:t>
            </w:r>
            <w:r w:rsidR="000D59BA"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</w:t>
            </w:r>
            <w:r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 et </w:t>
            </w:r>
            <w:r w:rsidR="000D59BA"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leur degré d’inclinaison</w:t>
            </w:r>
            <w:r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, </w:t>
            </w:r>
            <w:r w:rsidR="000D59BA"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la vitesse, l’état du</w:t>
            </w:r>
            <w:r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 trafic et les </w:t>
            </w:r>
            <w:r w:rsidR="000D59BA"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informations sur les </w:t>
            </w:r>
            <w:r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points de charge. </w:t>
            </w:r>
          </w:p>
          <w:p w14:paraId="7EA5CC16" w14:textId="77777777" w:rsidR="003C4095" w:rsidRPr="00ED2C9D" w:rsidRDefault="003C4095" w:rsidP="00ED2C9D">
            <w:pPr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  <w:p w14:paraId="04099BEA" w14:textId="00104C75" w:rsidR="000953A5" w:rsidRPr="00ED2C9D" w:rsidRDefault="00BA7AA0" w:rsidP="00ED2C9D">
            <w:pPr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L'amélioration des POI pour véhicules électriques profitera également aux clients de l'API </w:t>
            </w:r>
            <w:proofErr w:type="spellStart"/>
            <w:r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Maps</w:t>
            </w:r>
            <w:proofErr w:type="spellEnd"/>
            <w:r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 de TomTom qui </w:t>
            </w:r>
            <w:r w:rsidR="000D59BA"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gèrent</w:t>
            </w:r>
            <w:r w:rsidRPr="00ED2C9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 des flottes de véhicules électriques. </w:t>
            </w:r>
            <w:r w:rsidR="00DA4286" w:rsidRPr="00ED2C9D">
              <w:rPr>
                <w:sz w:val="20"/>
                <w:szCs w:val="20"/>
              </w:rPr>
              <w:t xml:space="preserve">Les </w:t>
            </w:r>
            <w:r w:rsidR="008260C2" w:rsidRPr="00ED2C9D">
              <w:rPr>
                <w:sz w:val="20"/>
                <w:szCs w:val="20"/>
              </w:rPr>
              <w:t>automobilistes</w:t>
            </w:r>
            <w:r w:rsidR="00DA4286" w:rsidRPr="00ED2C9D">
              <w:rPr>
                <w:sz w:val="20"/>
                <w:szCs w:val="20"/>
              </w:rPr>
              <w:t xml:space="preserve"> peuvent également </w:t>
            </w:r>
            <w:r w:rsidR="008260C2" w:rsidRPr="00ED2C9D">
              <w:rPr>
                <w:sz w:val="20"/>
                <w:szCs w:val="20"/>
              </w:rPr>
              <w:t>re</w:t>
            </w:r>
            <w:r w:rsidR="00DA4286" w:rsidRPr="00ED2C9D">
              <w:rPr>
                <w:sz w:val="20"/>
                <w:szCs w:val="20"/>
              </w:rPr>
              <w:t>trouver les bornes de recharge</w:t>
            </w:r>
            <w:r w:rsidR="00A26B69" w:rsidRPr="00ED2C9D">
              <w:rPr>
                <w:sz w:val="20"/>
                <w:szCs w:val="20"/>
              </w:rPr>
              <w:t xml:space="preserve"> VE</w:t>
            </w:r>
            <w:r w:rsidR="00DA4286" w:rsidRPr="00ED2C9D">
              <w:rPr>
                <w:sz w:val="20"/>
                <w:szCs w:val="20"/>
              </w:rPr>
              <w:t xml:space="preserve"> sur l'application TomTom GO Navigation (téléchargeable sur </w:t>
            </w:r>
            <w:hyperlink r:id="rId11" w:history="1">
              <w:r w:rsidR="00DA4286" w:rsidRPr="00ED2C9D">
                <w:rPr>
                  <w:rStyle w:val="Hyperlink"/>
                  <w:sz w:val="20"/>
                  <w:szCs w:val="20"/>
                </w:rPr>
                <w:t>Google Play</w:t>
              </w:r>
            </w:hyperlink>
            <w:r w:rsidR="00DA4286" w:rsidRPr="00ED2C9D">
              <w:rPr>
                <w:sz w:val="20"/>
                <w:szCs w:val="20"/>
              </w:rPr>
              <w:t xml:space="preserve">, </w:t>
            </w:r>
            <w:hyperlink r:id="rId12" w:history="1">
              <w:r w:rsidR="00DA4286" w:rsidRPr="00ED2C9D">
                <w:rPr>
                  <w:rStyle w:val="Hyperlink"/>
                  <w:sz w:val="20"/>
                  <w:szCs w:val="20"/>
                </w:rPr>
                <w:t>App Store</w:t>
              </w:r>
            </w:hyperlink>
            <w:r w:rsidR="00DA4286" w:rsidRPr="00ED2C9D">
              <w:rPr>
                <w:sz w:val="20"/>
                <w:szCs w:val="20"/>
              </w:rPr>
              <w:t xml:space="preserve"> et </w:t>
            </w:r>
            <w:hyperlink r:id="rId13" w:anchor="/app/C102075881" w:history="1">
              <w:proofErr w:type="spellStart"/>
              <w:r w:rsidR="00DA4286" w:rsidRPr="00ED2C9D">
                <w:rPr>
                  <w:rStyle w:val="Hyperlink"/>
                  <w:sz w:val="20"/>
                  <w:szCs w:val="20"/>
                </w:rPr>
                <w:t>Huawei</w:t>
              </w:r>
              <w:proofErr w:type="spellEnd"/>
              <w:r w:rsidR="00DA4286" w:rsidRPr="00ED2C9D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="00DA4286" w:rsidRPr="00ED2C9D">
                <w:rPr>
                  <w:rStyle w:val="Hyperlink"/>
                  <w:sz w:val="20"/>
                  <w:szCs w:val="20"/>
                </w:rPr>
                <w:t>AppGallery</w:t>
              </w:r>
              <w:proofErr w:type="spellEnd"/>
            </w:hyperlink>
            <w:r w:rsidR="00DA4286" w:rsidRPr="00ED2C9D">
              <w:rPr>
                <w:sz w:val="20"/>
                <w:szCs w:val="20"/>
              </w:rPr>
              <w:t xml:space="preserve">), et sur le tout nouveau GPS de TomTom : </w:t>
            </w:r>
            <w:hyperlink r:id="rId14" w:history="1">
              <w:r w:rsidR="00DA4286" w:rsidRPr="00ED2C9D">
                <w:rPr>
                  <w:rStyle w:val="Hyperlink"/>
                  <w:sz w:val="20"/>
                  <w:szCs w:val="20"/>
                </w:rPr>
                <w:t>le TomTom GO Discover</w:t>
              </w:r>
            </w:hyperlink>
            <w:r w:rsidR="00DA4286" w:rsidRPr="00ED2C9D">
              <w:rPr>
                <w:sz w:val="20"/>
                <w:szCs w:val="20"/>
              </w:rPr>
              <w:t>.</w:t>
            </w:r>
          </w:p>
          <w:bookmarkEnd w:id="2"/>
          <w:p w14:paraId="0406FE22" w14:textId="77777777" w:rsidR="00EB4F16" w:rsidRPr="00ED2C9D" w:rsidRDefault="00EB4F16" w:rsidP="00ED2C9D">
            <w:pPr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6508C795" w14:textId="77777777" w:rsidR="00ED2C9D" w:rsidRDefault="00ED2C9D" w:rsidP="00ED2C9D">
      <w:pPr>
        <w:spacing w:line="276" w:lineRule="auto"/>
        <w:rPr>
          <w:b/>
          <w:bCs/>
          <w:sz w:val="20"/>
          <w:szCs w:val="20"/>
        </w:rPr>
      </w:pPr>
    </w:p>
    <w:p w14:paraId="79A15ACD" w14:textId="77777777" w:rsidR="00ED2C9D" w:rsidRDefault="00ED2C9D" w:rsidP="00ED2C9D">
      <w:pPr>
        <w:spacing w:line="276" w:lineRule="auto"/>
        <w:rPr>
          <w:b/>
          <w:bCs/>
          <w:sz w:val="20"/>
          <w:szCs w:val="20"/>
        </w:rPr>
      </w:pPr>
    </w:p>
    <w:p w14:paraId="3DF2CFBA" w14:textId="77777777" w:rsidR="00ED2C9D" w:rsidRDefault="00ED2C9D" w:rsidP="00ED2C9D">
      <w:pPr>
        <w:spacing w:line="276" w:lineRule="auto"/>
        <w:rPr>
          <w:b/>
          <w:bCs/>
          <w:sz w:val="20"/>
          <w:szCs w:val="20"/>
        </w:rPr>
      </w:pPr>
    </w:p>
    <w:p w14:paraId="5D705752" w14:textId="77777777" w:rsidR="00ED2C9D" w:rsidRDefault="00ED2C9D" w:rsidP="00ED2C9D">
      <w:pPr>
        <w:spacing w:line="276" w:lineRule="auto"/>
        <w:rPr>
          <w:b/>
          <w:bCs/>
          <w:sz w:val="20"/>
          <w:szCs w:val="20"/>
        </w:rPr>
      </w:pPr>
    </w:p>
    <w:p w14:paraId="6882AEA5" w14:textId="77777777" w:rsidR="00ED2C9D" w:rsidRDefault="00ED2C9D" w:rsidP="00ED2C9D">
      <w:pPr>
        <w:spacing w:line="276" w:lineRule="auto"/>
        <w:rPr>
          <w:b/>
          <w:bCs/>
          <w:sz w:val="20"/>
          <w:szCs w:val="20"/>
        </w:rPr>
      </w:pPr>
    </w:p>
    <w:p w14:paraId="699C4DD5" w14:textId="77777777" w:rsidR="00ED2C9D" w:rsidRDefault="00ED2C9D" w:rsidP="00ED2C9D">
      <w:pPr>
        <w:spacing w:line="276" w:lineRule="auto"/>
        <w:rPr>
          <w:b/>
          <w:bCs/>
          <w:sz w:val="20"/>
          <w:szCs w:val="20"/>
        </w:rPr>
      </w:pPr>
    </w:p>
    <w:p w14:paraId="641F70E4" w14:textId="77777777" w:rsidR="00ED2C9D" w:rsidRDefault="00ED2C9D" w:rsidP="00ED2C9D">
      <w:pPr>
        <w:spacing w:line="276" w:lineRule="auto"/>
        <w:rPr>
          <w:b/>
          <w:bCs/>
          <w:sz w:val="20"/>
          <w:szCs w:val="20"/>
        </w:rPr>
      </w:pPr>
    </w:p>
    <w:p w14:paraId="137461BE" w14:textId="2C62C4AA" w:rsidR="00ED2C9D" w:rsidRPr="002F40C9" w:rsidRDefault="00ED2C9D" w:rsidP="00ED2C9D">
      <w:pPr>
        <w:spacing w:line="276" w:lineRule="auto"/>
        <w:rPr>
          <w:b/>
          <w:bCs/>
          <w:sz w:val="20"/>
          <w:szCs w:val="20"/>
        </w:rPr>
      </w:pPr>
      <w:r w:rsidRPr="002F40C9">
        <w:rPr>
          <w:b/>
          <w:bCs/>
          <w:sz w:val="20"/>
          <w:szCs w:val="20"/>
        </w:rPr>
        <w:t>À propos de TomTom :</w:t>
      </w:r>
    </w:p>
    <w:p w14:paraId="72D66167" w14:textId="77777777" w:rsidR="00ED2C9D" w:rsidRPr="002F40C9" w:rsidRDefault="00ED2C9D" w:rsidP="00ED2C9D">
      <w:pPr>
        <w:spacing w:line="276" w:lineRule="auto"/>
        <w:rPr>
          <w:sz w:val="20"/>
          <w:szCs w:val="20"/>
        </w:rPr>
      </w:pPr>
      <w:r w:rsidRPr="002F40C9">
        <w:rPr>
          <w:sz w:val="20"/>
          <w:szCs w:val="20"/>
        </w:rPr>
        <w:t>Chez TomTom, nous sommes cartographes et fournissons nos technologies de géolocalisation aux automobilistes, constructeurs automobiles, entreprises et développeurs.</w:t>
      </w:r>
    </w:p>
    <w:p w14:paraId="2563B324" w14:textId="77777777" w:rsidR="00ED2C9D" w:rsidRPr="002F40C9" w:rsidRDefault="00ED2C9D" w:rsidP="00ED2C9D">
      <w:pPr>
        <w:spacing w:line="276" w:lineRule="auto"/>
        <w:rPr>
          <w:sz w:val="20"/>
          <w:szCs w:val="20"/>
        </w:rPr>
      </w:pPr>
      <w:r w:rsidRPr="002F40C9">
        <w:rPr>
          <w:sz w:val="20"/>
          <w:szCs w:val="20"/>
        </w:rPr>
        <w:t>Nos cartes extrêmement précises, notre logiciel de navigation, notre information trafic en temps réel et nos API contribuent à une mobilité intelligente qui rend les routes plus sûres, la conduite plus sereine et l’air plus sain.</w:t>
      </w:r>
    </w:p>
    <w:p w14:paraId="7CDC3654" w14:textId="77777777" w:rsidR="00ED2C9D" w:rsidRPr="002F40C9" w:rsidRDefault="00ED2C9D" w:rsidP="00ED2C9D">
      <w:pPr>
        <w:spacing w:line="276" w:lineRule="auto"/>
        <w:rPr>
          <w:sz w:val="20"/>
          <w:szCs w:val="20"/>
        </w:rPr>
      </w:pPr>
      <w:r w:rsidRPr="002F40C9">
        <w:rPr>
          <w:sz w:val="20"/>
          <w:szCs w:val="20"/>
        </w:rPr>
        <w:t>Notre siège est basé à Amsterdam, nous sommes installés dans 30 pays, et à travers le monde, des centaines de millions de conducteurs, entreprises et administrations utilisent chaque jour nos technologies en toute confiance.</w:t>
      </w:r>
    </w:p>
    <w:p w14:paraId="271D34F2" w14:textId="77777777" w:rsidR="00ED2C9D" w:rsidRPr="002F40C9" w:rsidRDefault="00ED2C9D" w:rsidP="00ED2C9D">
      <w:pPr>
        <w:spacing w:after="240" w:line="276" w:lineRule="auto"/>
        <w:rPr>
          <w:sz w:val="20"/>
          <w:szCs w:val="20"/>
        </w:rPr>
      </w:pPr>
      <w:r w:rsidRPr="002F40C9">
        <w:rPr>
          <w:rFonts w:eastAsia="Times New Roman" w:cstheme="minorHAnsi"/>
          <w:sz w:val="20"/>
          <w:szCs w:val="20"/>
        </w:rPr>
        <w:t xml:space="preserve">Plus d’informations sur : </w:t>
      </w:r>
      <w:hyperlink r:id="rId15" w:history="1">
        <w:r w:rsidRPr="002F40C9">
          <w:rPr>
            <w:rStyle w:val="Hyperlink"/>
            <w:rFonts w:cstheme="minorHAnsi"/>
            <w:sz w:val="20"/>
            <w:szCs w:val="20"/>
          </w:rPr>
          <w:t>www.tomtom.com</w:t>
        </w:r>
      </w:hyperlink>
      <w:r w:rsidRPr="002F40C9">
        <w:rPr>
          <w:sz w:val="20"/>
          <w:szCs w:val="20"/>
        </w:rPr>
        <w:t>.</w:t>
      </w:r>
    </w:p>
    <w:p w14:paraId="5A3C37E2" w14:textId="2684E848" w:rsidR="002B4F8E" w:rsidRDefault="00ED2C9D" w:rsidP="00ED2C9D">
      <w:pPr>
        <w:spacing w:line="276" w:lineRule="auto"/>
      </w:pPr>
      <w:r w:rsidRPr="002F40C9">
        <w:rPr>
          <w:rFonts w:eastAsia="Times New Roman" w:cstheme="minorHAnsi"/>
          <w:b/>
          <w:sz w:val="20"/>
          <w:szCs w:val="20"/>
        </w:rPr>
        <w:t>Contacts presse :</w:t>
      </w:r>
      <w:r>
        <w:rPr>
          <w:rFonts w:eastAsia="Times New Roman" w:cstheme="minorHAnsi"/>
          <w:b/>
          <w:sz w:val="20"/>
          <w:szCs w:val="20"/>
        </w:rPr>
        <w:br/>
      </w:r>
      <w:r>
        <w:rPr>
          <w:rFonts w:eastAsia="Times New Roman" w:cstheme="minorHAnsi"/>
          <w:sz w:val="20"/>
          <w:szCs w:val="20"/>
        </w:rPr>
        <w:t xml:space="preserve">Sandra Van </w:t>
      </w:r>
      <w:proofErr w:type="spellStart"/>
      <w:r>
        <w:rPr>
          <w:rFonts w:eastAsia="Times New Roman" w:cstheme="minorHAnsi"/>
          <w:sz w:val="20"/>
          <w:szCs w:val="20"/>
        </w:rPr>
        <w:t>Hauwaert</w:t>
      </w:r>
      <w:proofErr w:type="spellEnd"/>
      <w:r>
        <w:rPr>
          <w:rFonts w:eastAsia="Times New Roman" w:cstheme="minorHAnsi"/>
          <w:sz w:val="20"/>
          <w:szCs w:val="20"/>
        </w:rPr>
        <w:t xml:space="preserve">, Square Egg Communications, </w:t>
      </w:r>
      <w:hyperlink r:id="rId16" w:history="1">
        <w:r w:rsidRPr="00244716">
          <w:rPr>
            <w:rStyle w:val="Hyperlink"/>
            <w:rFonts w:eastAsia="Times New Roman" w:cstheme="minorHAnsi"/>
            <w:sz w:val="20"/>
            <w:szCs w:val="20"/>
          </w:rPr>
          <w:t>sandra@square-egg.be</w:t>
        </w:r>
      </w:hyperlink>
      <w:r>
        <w:rPr>
          <w:rFonts w:eastAsia="Times New Roman" w:cstheme="minorHAnsi"/>
          <w:sz w:val="20"/>
          <w:szCs w:val="20"/>
        </w:rPr>
        <w:t>, GSM 0497251816.</w:t>
      </w:r>
    </w:p>
    <w:sectPr w:rsidR="002B4F8E" w:rsidSect="00387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izon NHG TX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E69DD"/>
    <w:multiLevelType w:val="hybridMultilevel"/>
    <w:tmpl w:val="13F86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D224A"/>
    <w:multiLevelType w:val="hybridMultilevel"/>
    <w:tmpl w:val="7854AC3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45579B"/>
    <w:multiLevelType w:val="hybridMultilevel"/>
    <w:tmpl w:val="3B86F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3104C"/>
    <w:multiLevelType w:val="hybridMultilevel"/>
    <w:tmpl w:val="E306F964"/>
    <w:lvl w:ilvl="0" w:tplc="B9B83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F8E"/>
    <w:rsid w:val="00000C2E"/>
    <w:rsid w:val="00005D87"/>
    <w:rsid w:val="00010362"/>
    <w:rsid w:val="000279AD"/>
    <w:rsid w:val="000412F2"/>
    <w:rsid w:val="00060620"/>
    <w:rsid w:val="00064B80"/>
    <w:rsid w:val="00084B42"/>
    <w:rsid w:val="0009333E"/>
    <w:rsid w:val="000953A5"/>
    <w:rsid w:val="000D59BA"/>
    <w:rsid w:val="000E40E7"/>
    <w:rsid w:val="00110071"/>
    <w:rsid w:val="00114BDC"/>
    <w:rsid w:val="0012142D"/>
    <w:rsid w:val="00136B68"/>
    <w:rsid w:val="00167D15"/>
    <w:rsid w:val="00174700"/>
    <w:rsid w:val="0018117D"/>
    <w:rsid w:val="001E2201"/>
    <w:rsid w:val="001F4ADE"/>
    <w:rsid w:val="00201156"/>
    <w:rsid w:val="00257874"/>
    <w:rsid w:val="002A1C32"/>
    <w:rsid w:val="002B4F8E"/>
    <w:rsid w:val="002D2780"/>
    <w:rsid w:val="002D2B34"/>
    <w:rsid w:val="002F2857"/>
    <w:rsid w:val="00316B35"/>
    <w:rsid w:val="00332340"/>
    <w:rsid w:val="00334D23"/>
    <w:rsid w:val="00351F8A"/>
    <w:rsid w:val="0035708B"/>
    <w:rsid w:val="003605BB"/>
    <w:rsid w:val="003871CB"/>
    <w:rsid w:val="003A2696"/>
    <w:rsid w:val="003C153B"/>
    <w:rsid w:val="003C4095"/>
    <w:rsid w:val="003F6044"/>
    <w:rsid w:val="004071BC"/>
    <w:rsid w:val="004240DF"/>
    <w:rsid w:val="0048084F"/>
    <w:rsid w:val="004C23BD"/>
    <w:rsid w:val="005162DB"/>
    <w:rsid w:val="005B1CFB"/>
    <w:rsid w:val="005B405B"/>
    <w:rsid w:val="00610E6B"/>
    <w:rsid w:val="0061197F"/>
    <w:rsid w:val="006619B2"/>
    <w:rsid w:val="00701FBA"/>
    <w:rsid w:val="007240BE"/>
    <w:rsid w:val="00745E9D"/>
    <w:rsid w:val="007B55DC"/>
    <w:rsid w:val="007B78C1"/>
    <w:rsid w:val="007C3738"/>
    <w:rsid w:val="007E26A5"/>
    <w:rsid w:val="007E2B69"/>
    <w:rsid w:val="007E434E"/>
    <w:rsid w:val="008073F1"/>
    <w:rsid w:val="008260C2"/>
    <w:rsid w:val="00830353"/>
    <w:rsid w:val="008D0A09"/>
    <w:rsid w:val="0097653A"/>
    <w:rsid w:val="009D6BD2"/>
    <w:rsid w:val="00A006E3"/>
    <w:rsid w:val="00A12E10"/>
    <w:rsid w:val="00A26B69"/>
    <w:rsid w:val="00A66369"/>
    <w:rsid w:val="00AC34CE"/>
    <w:rsid w:val="00AF5890"/>
    <w:rsid w:val="00B24906"/>
    <w:rsid w:val="00B50D65"/>
    <w:rsid w:val="00B717F2"/>
    <w:rsid w:val="00BA1893"/>
    <w:rsid w:val="00BA7AA0"/>
    <w:rsid w:val="00BB13CC"/>
    <w:rsid w:val="00BC11E4"/>
    <w:rsid w:val="00BD5AE0"/>
    <w:rsid w:val="00C0639E"/>
    <w:rsid w:val="00C31B0B"/>
    <w:rsid w:val="00C61AF2"/>
    <w:rsid w:val="00C96C56"/>
    <w:rsid w:val="00CA4510"/>
    <w:rsid w:val="00CB2366"/>
    <w:rsid w:val="00CD2FB5"/>
    <w:rsid w:val="00D86DBB"/>
    <w:rsid w:val="00D90E95"/>
    <w:rsid w:val="00DA4286"/>
    <w:rsid w:val="00DB140A"/>
    <w:rsid w:val="00DC4ACB"/>
    <w:rsid w:val="00DD4862"/>
    <w:rsid w:val="00DD4FE9"/>
    <w:rsid w:val="00E202C5"/>
    <w:rsid w:val="00E46D03"/>
    <w:rsid w:val="00E829DE"/>
    <w:rsid w:val="00EA0E63"/>
    <w:rsid w:val="00EB4F16"/>
    <w:rsid w:val="00EC6BA9"/>
    <w:rsid w:val="00EC7644"/>
    <w:rsid w:val="00ED2C9D"/>
    <w:rsid w:val="00EF61A1"/>
    <w:rsid w:val="00F65527"/>
    <w:rsid w:val="00FA5DB5"/>
    <w:rsid w:val="00FB1D67"/>
    <w:rsid w:val="00FD0AC1"/>
    <w:rsid w:val="00FD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A22C1"/>
  <w15:docId w15:val="{883DA10D-D709-498A-B8A8-784FA67A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2B6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E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E2B69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4BD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4BDC"/>
    <w:rPr>
      <w:rFonts w:ascii="Lucida Grande" w:hAnsi="Lucida Grande"/>
      <w:sz w:val="18"/>
      <w:szCs w:val="18"/>
    </w:rPr>
  </w:style>
  <w:style w:type="character" w:customStyle="1" w:styleId="Mentionnonrsolue1">
    <w:name w:val="Mention non résolue1"/>
    <w:basedOn w:val="Standaardalinea-lettertype"/>
    <w:uiPriority w:val="99"/>
    <w:semiHidden/>
    <w:unhideWhenUsed/>
    <w:rsid w:val="00745E9D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45E9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45E9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45E9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45E9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45E9D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174700"/>
    <w:pPr>
      <w:ind w:left="720"/>
      <w:contextualSpacing/>
    </w:pPr>
  </w:style>
  <w:style w:type="character" w:customStyle="1" w:styleId="Mentionnonrsolue2">
    <w:name w:val="Mention non résolue2"/>
    <w:basedOn w:val="Standaardalinea-lettertype"/>
    <w:uiPriority w:val="99"/>
    <w:semiHidden/>
    <w:unhideWhenUsed/>
    <w:rsid w:val="00CA4510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C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5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ppgallery7.huawei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s.apple.com/us/app/tomtom-go-navigation/id88496336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andra@square-egg.b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y.google.com/store/apps/details?id=com.tomtom.gplay.navapp&amp;hl=en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tomtom.com" TargetMode="External"/><Relationship Id="rId10" Type="http://schemas.openxmlformats.org/officeDocument/2006/relationships/hyperlink" Target="https://developer.tomtom.com/products/directions-ap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tomtom.com/" TargetMode="External"/><Relationship Id="rId14" Type="http://schemas.openxmlformats.org/officeDocument/2006/relationships/hyperlink" Target="https://www.tomtom.com/en_gb/navigation/promo/go-discove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58068A4A8AB48879CEC4CA4A2B5F4" ma:contentTypeVersion="13" ma:contentTypeDescription="Create a new document." ma:contentTypeScope="" ma:versionID="9f2bf535cba887ba17a8acee3158e465">
  <xsd:schema xmlns:xsd="http://www.w3.org/2001/XMLSchema" xmlns:xs="http://www.w3.org/2001/XMLSchema" xmlns:p="http://schemas.microsoft.com/office/2006/metadata/properties" xmlns:ns3="d0d1677b-2d5a-4900-b95a-c4ff764a92ef" xmlns:ns4="21b5dabe-0d8c-4f11-8663-07122a43d21b" targetNamespace="http://schemas.microsoft.com/office/2006/metadata/properties" ma:root="true" ma:fieldsID="6da62ec33153333e3c58adabb939f8fd" ns3:_="" ns4:_="">
    <xsd:import namespace="d0d1677b-2d5a-4900-b95a-c4ff764a92ef"/>
    <xsd:import namespace="21b5dabe-0d8c-4f11-8663-07122a43d2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1677b-2d5a-4900-b95a-c4ff764a92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5dabe-0d8c-4f11-8663-07122a43d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9DBDED-6C0F-4905-A082-B4B0A1237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1677b-2d5a-4900-b95a-c4ff764a92ef"/>
    <ds:schemaRef ds:uri="21b5dabe-0d8c-4f11-8663-07122a43d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3C005-E429-48A3-AA56-FD3917E15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7A56F2-1003-4EC3-8C89-B8E055ED65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Gunther</dc:creator>
  <cp:keywords/>
  <dc:description/>
  <cp:lastModifiedBy>Sandra Van Hauwaert</cp:lastModifiedBy>
  <cp:revision>2</cp:revision>
  <dcterms:created xsi:type="dcterms:W3CDTF">2021-05-19T12:16:00Z</dcterms:created>
  <dcterms:modified xsi:type="dcterms:W3CDTF">2021-05-19T12:16:00Z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0x0101009ED58068A4A8AB48879CEC4CA4A2B5F4</vt:lpwstr>
  </property>
</Properties>
</file>